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CEC136">
      <w:pPr>
        <w:spacing w:before="0" w:after="60"/>
        <w:jc w:val="center"/>
      </w:pPr>
      <w:r>
        <w:rPr>
          <w:rFonts w:ascii="Arial" w:hAnsi="Arial" w:eastAsia="Arial" w:cs="Arial"/>
          <w:b/>
          <w:bCs/>
          <w:color w:val="1F3864"/>
          <w:sz w:val="36"/>
          <w:szCs w:val="36"/>
        </w:rPr>
        <w:t>FICHE DE VEILLE INFORMATIQUE</w:t>
      </w:r>
    </w:p>
    <w:p w14:paraId="632DB023">
      <w:pPr>
        <w:pBdr>
          <w:bottom w:val="single" w:color="2E75B6" w:sz="6" w:space="1"/>
        </w:pBdr>
        <w:spacing w:before="0" w:after="200"/>
        <w:jc w:val="center"/>
      </w:pPr>
      <w:r>
        <w:rPr>
          <w:rFonts w:ascii="Arial" w:hAnsi="Arial" w:eastAsia="Arial" w:cs="Arial"/>
          <w:color w:val="444444"/>
          <w:sz w:val="22"/>
          <w:szCs w:val="22"/>
        </w:rPr>
        <w:t>BTS SIO – Option SLAM | Session 2025-2026</w:t>
      </w:r>
    </w:p>
    <w:tbl>
      <w:tblPr>
        <w:tblStyle w:val="9"/>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500"/>
        <w:gridCol w:w="4453"/>
        <w:gridCol w:w="2953"/>
      </w:tblGrid>
      <w:tr w14:paraId="33631E17">
        <w:tc>
          <w:tcPr>
            <w:tcW w:w="2500"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2D22475E">
            <w:pPr>
              <w:jc w:val="center"/>
            </w:pPr>
            <w:r>
              <w:rPr>
                <w:rFonts w:ascii="Arial" w:hAnsi="Arial" w:eastAsia="Arial" w:cs="Arial"/>
                <w:b/>
                <w:bCs/>
                <w:color w:val="FFFFFF"/>
                <w:sz w:val="22"/>
                <w:szCs w:val="22"/>
              </w:rPr>
              <w:t>Élève</w:t>
            </w:r>
          </w:p>
        </w:tc>
        <w:tc>
          <w:tcPr>
            <w:tcW w:w="4453"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75F1B1C2">
            <w:pPr>
              <w:jc w:val="center"/>
            </w:pPr>
            <w:r>
              <w:rPr>
                <w:rFonts w:ascii="Arial" w:hAnsi="Arial" w:eastAsia="Arial" w:cs="Arial"/>
                <w:b/>
                <w:bCs/>
                <w:color w:val="FFFFFF"/>
                <w:sz w:val="22"/>
                <w:szCs w:val="22"/>
              </w:rPr>
              <w:t>Établissement</w:t>
            </w:r>
          </w:p>
        </w:tc>
        <w:tc>
          <w:tcPr>
            <w:tcW w:w="2953"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7334D2B2">
            <w:pPr>
              <w:jc w:val="center"/>
            </w:pPr>
            <w:r>
              <w:rPr>
                <w:rFonts w:ascii="Arial" w:hAnsi="Arial" w:eastAsia="Arial" w:cs="Arial"/>
                <w:b/>
                <w:bCs/>
                <w:color w:val="FFFFFF"/>
                <w:sz w:val="22"/>
                <w:szCs w:val="22"/>
              </w:rPr>
              <w:t>Date</w:t>
            </w:r>
          </w:p>
        </w:tc>
      </w:tr>
      <w:tr w14:paraId="658A4C28">
        <w:tc>
          <w:tcPr>
            <w:tcW w:w="2500" w:type="dxa"/>
            <w:tcBorders>
              <w:top w:val="single" w:color="CCCCCC" w:sz="0" w:space="0"/>
              <w:left w:val="single" w:color="CCCCCC" w:sz="0" w:space="0"/>
              <w:bottom w:val="single" w:color="CCCCCC" w:sz="0" w:space="0"/>
              <w:right w:val="single" w:color="CCCCCC" w:sz="0" w:space="0"/>
            </w:tcBorders>
            <w:shd w:val="clear" w:color="auto" w:fill="F2F2F2"/>
            <w:tcMar>
              <w:top w:w="80" w:type="dxa"/>
              <w:left w:w="120" w:type="dxa"/>
              <w:bottom w:w="80" w:type="dxa"/>
              <w:right w:w="120" w:type="dxa"/>
            </w:tcMar>
          </w:tcPr>
          <w:p w14:paraId="6EE95B03">
            <w:r>
              <w:rPr>
                <w:rFonts w:ascii="Arial" w:hAnsi="Arial" w:eastAsia="Arial" w:cs="Arial"/>
                <w:b w:val="0"/>
                <w:bCs w:val="0"/>
                <w:sz w:val="20"/>
                <w:szCs w:val="20"/>
              </w:rPr>
              <w:t>BAYA BAHA Sara-Christel</w:t>
            </w:r>
          </w:p>
        </w:tc>
        <w:tc>
          <w:tcPr>
            <w:tcW w:w="4453" w:type="dxa"/>
            <w:tcBorders>
              <w:top w:val="single" w:color="CCCCCC" w:sz="0" w:space="0"/>
              <w:left w:val="single" w:color="CCCCCC" w:sz="0" w:space="0"/>
              <w:bottom w:val="single" w:color="CCCCCC" w:sz="0" w:space="0"/>
              <w:right w:val="single" w:color="CCCCCC" w:sz="0" w:space="0"/>
            </w:tcBorders>
            <w:shd w:val="clear" w:color="auto" w:fill="F2F2F2"/>
            <w:tcMar>
              <w:top w:w="80" w:type="dxa"/>
              <w:left w:w="120" w:type="dxa"/>
              <w:bottom w:w="80" w:type="dxa"/>
              <w:right w:w="120" w:type="dxa"/>
            </w:tcMar>
          </w:tcPr>
          <w:p w14:paraId="3CE5193F">
            <w:r>
              <w:rPr>
                <w:rFonts w:ascii="Arial" w:hAnsi="Arial" w:eastAsia="Arial" w:cs="Arial"/>
                <w:b w:val="0"/>
                <w:bCs w:val="0"/>
                <w:sz w:val="20"/>
                <w:szCs w:val="20"/>
              </w:rPr>
              <w:t>Lycée Privé LEREBOURS</w:t>
            </w:r>
          </w:p>
        </w:tc>
        <w:tc>
          <w:tcPr>
            <w:tcW w:w="2953" w:type="dxa"/>
            <w:tcBorders>
              <w:top w:val="single" w:color="CCCCCC" w:sz="0" w:space="0"/>
              <w:left w:val="single" w:color="CCCCCC" w:sz="0" w:space="0"/>
              <w:bottom w:val="single" w:color="CCCCCC" w:sz="0" w:space="0"/>
              <w:right w:val="single" w:color="CCCCCC" w:sz="0" w:space="0"/>
            </w:tcBorders>
            <w:shd w:val="clear" w:color="auto" w:fill="F2F2F2"/>
            <w:tcMar>
              <w:top w:w="80" w:type="dxa"/>
              <w:left w:w="120" w:type="dxa"/>
              <w:bottom w:w="80" w:type="dxa"/>
              <w:right w:w="120" w:type="dxa"/>
            </w:tcMar>
          </w:tcPr>
          <w:p w14:paraId="74F2117B">
            <w:r>
              <w:rPr>
                <w:rFonts w:ascii="Arial" w:hAnsi="Arial" w:eastAsia="Arial" w:cs="Arial"/>
                <w:b w:val="0"/>
                <w:bCs w:val="0"/>
                <w:sz w:val="20"/>
                <w:szCs w:val="20"/>
              </w:rPr>
              <w:t>Avril 2026</w:t>
            </w:r>
          </w:p>
        </w:tc>
      </w:tr>
    </w:tbl>
    <w:p w14:paraId="21439053"/>
    <w:tbl>
      <w:tblPr>
        <w:tblStyle w:val="9"/>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500"/>
        <w:gridCol w:w="7406"/>
      </w:tblGrid>
      <w:tr w14:paraId="326EDEEB">
        <w:tc>
          <w:tcPr>
            <w:tcW w:w="2500"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3D82286E">
            <w:pPr>
              <w:jc w:val="center"/>
            </w:pPr>
            <w:r>
              <w:rPr>
                <w:rFonts w:ascii="Arial" w:hAnsi="Arial" w:eastAsia="Arial" w:cs="Arial"/>
                <w:b/>
                <w:bCs/>
                <w:color w:val="FFFFFF"/>
                <w:sz w:val="22"/>
                <w:szCs w:val="22"/>
              </w:rPr>
              <w:t>Sujet de veille</w:t>
            </w:r>
          </w:p>
        </w:tc>
        <w:tc>
          <w:tcPr>
            <w:tcW w:w="7406" w:type="dxa"/>
            <w:tcBorders>
              <w:top w:val="single" w:color="CCCCCC" w:sz="0" w:space="0"/>
              <w:left w:val="single" w:color="CCCCCC" w:sz="0" w:space="0"/>
              <w:bottom w:val="single" w:color="CCCCCC" w:sz="0" w:space="0"/>
              <w:right w:val="single" w:color="CCCCCC" w:sz="0" w:space="0"/>
            </w:tcBorders>
            <w:shd w:val="clear" w:color="auto" w:fill="D5E8F0"/>
            <w:tcMar>
              <w:top w:w="80" w:type="dxa"/>
              <w:left w:w="120" w:type="dxa"/>
              <w:bottom w:w="80" w:type="dxa"/>
              <w:right w:w="120" w:type="dxa"/>
            </w:tcMar>
          </w:tcPr>
          <w:p w14:paraId="575B2FAF">
            <w:r>
              <w:rPr>
                <w:rFonts w:ascii="Arial" w:hAnsi="Arial" w:eastAsia="Arial" w:cs="Arial"/>
                <w:b/>
                <w:bCs/>
                <w:sz w:val="20"/>
                <w:szCs w:val="20"/>
              </w:rPr>
              <w:t>Git et le versioning collaboratif</w:t>
            </w:r>
          </w:p>
        </w:tc>
      </w:tr>
      <w:tr w14:paraId="4B5038B1">
        <w:tc>
          <w:tcPr>
            <w:tcW w:w="2500"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3AB0F17A">
            <w:pPr>
              <w:jc w:val="center"/>
            </w:pPr>
            <w:r>
              <w:rPr>
                <w:rFonts w:ascii="Arial" w:hAnsi="Arial" w:eastAsia="Arial" w:cs="Arial"/>
                <w:b/>
                <w:bCs/>
                <w:color w:val="FFFFFF"/>
                <w:sz w:val="22"/>
                <w:szCs w:val="22"/>
              </w:rPr>
              <w:t>Méthode</w:t>
            </w:r>
          </w:p>
        </w:tc>
        <w:tc>
          <w:tcPr>
            <w:tcW w:w="7406" w:type="dxa"/>
            <w:tcBorders>
              <w:top w:val="single" w:color="CCCCCC" w:sz="0" w:space="0"/>
              <w:left w:val="single" w:color="CCCCCC" w:sz="0" w:space="0"/>
              <w:bottom w:val="single" w:color="CCCCCC" w:sz="0" w:space="0"/>
              <w:right w:val="single" w:color="CCCCCC" w:sz="0" w:space="0"/>
            </w:tcBorders>
            <w:shd w:val="clear" w:color="auto" w:fill="D5E8F0"/>
            <w:tcMar>
              <w:top w:w="80" w:type="dxa"/>
              <w:left w:w="120" w:type="dxa"/>
              <w:bottom w:w="80" w:type="dxa"/>
              <w:right w:w="120" w:type="dxa"/>
            </w:tcMar>
          </w:tcPr>
          <w:p w14:paraId="23078925">
            <w:r>
              <w:rPr>
                <w:rFonts w:ascii="Arial" w:hAnsi="Arial" w:eastAsia="Arial" w:cs="Arial"/>
                <w:b w:val="0"/>
                <w:bCs w:val="0"/>
                <w:sz w:val="20"/>
                <w:szCs w:val="20"/>
              </w:rPr>
              <w:t>Méthode PUSH — Google Alerts, Feedly, Réseaux sociaux</w:t>
            </w:r>
          </w:p>
        </w:tc>
      </w:tr>
      <w:tr w14:paraId="54B24C32">
        <w:tc>
          <w:tcPr>
            <w:tcW w:w="2500"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232B4837">
            <w:pPr>
              <w:jc w:val="center"/>
            </w:pPr>
            <w:r>
              <w:rPr>
                <w:rFonts w:ascii="Arial" w:hAnsi="Arial" w:eastAsia="Arial" w:cs="Arial"/>
                <w:b/>
                <w:bCs/>
                <w:color w:val="FFFFFF"/>
                <w:sz w:val="22"/>
                <w:szCs w:val="22"/>
              </w:rPr>
              <w:t>Sources utilisées</w:t>
            </w:r>
          </w:p>
        </w:tc>
        <w:tc>
          <w:tcPr>
            <w:tcW w:w="7406" w:type="dxa"/>
            <w:tcBorders>
              <w:top w:val="single" w:color="CCCCCC" w:sz="0" w:space="0"/>
              <w:left w:val="single" w:color="CCCCCC" w:sz="0" w:space="0"/>
              <w:bottom w:val="single" w:color="CCCCCC" w:sz="0" w:space="0"/>
              <w:right w:val="single" w:color="CCCCCC" w:sz="0" w:space="0"/>
            </w:tcBorders>
            <w:shd w:val="clear" w:color="auto" w:fill="D5E8F0"/>
            <w:tcMar>
              <w:top w:w="80" w:type="dxa"/>
              <w:left w:w="120" w:type="dxa"/>
              <w:bottom w:w="80" w:type="dxa"/>
              <w:right w:w="120" w:type="dxa"/>
            </w:tcMar>
          </w:tcPr>
          <w:p w14:paraId="25CEAE4B">
            <w:r>
              <w:rPr>
                <w:rFonts w:ascii="Arial" w:hAnsi="Arial" w:eastAsia="Arial" w:cs="Arial"/>
                <w:b w:val="0"/>
                <w:bCs w:val="0"/>
                <w:sz w:val="20"/>
                <w:szCs w:val="20"/>
              </w:rPr>
              <w:t>git-scm.com | github.blog | dev.to | Twitter/X | Feedly (flux RSS)</w:t>
            </w:r>
          </w:p>
        </w:tc>
      </w:tr>
    </w:tbl>
    <w:p w14:paraId="3A48F96E"/>
    <w:p w14:paraId="3FB9CFC8">
      <w:pPr>
        <w:pBdr>
          <w:bottom w:val="single" w:color="2E75B6" w:sz="2" w:space="1"/>
        </w:pBdr>
        <w:spacing w:before="200" w:after="100"/>
      </w:pPr>
      <w:r>
        <w:rPr>
          <w:rFonts w:ascii="Arial" w:hAnsi="Arial" w:eastAsia="Arial" w:cs="Arial"/>
          <w:b/>
          <w:bCs/>
          <w:color w:val="1F3864"/>
          <w:sz w:val="26"/>
          <w:szCs w:val="26"/>
        </w:rPr>
        <w:t>1. Présentation du sujet</w:t>
      </w:r>
    </w:p>
    <w:p w14:paraId="780DA55B">
      <w:pPr>
        <w:spacing w:before="60" w:after="60"/>
      </w:pPr>
      <w:r>
        <w:rPr>
          <w:rFonts w:ascii="Arial" w:hAnsi="Arial" w:eastAsia="Arial" w:cs="Arial"/>
          <w:sz w:val="20"/>
          <w:szCs w:val="20"/>
        </w:rPr>
        <w:t>Git est un système de contrôle de version distribué (DVCS) créé en 2005 par Linus Torvalds pour le développement du noyau Linux. Il permet de suivre l'évolution d'un projet dans le temps, de travailler en équipe sur les mêmes fichiers, et de revenir à n'importe quelle version antérieure du code.</w:t>
      </w:r>
    </w:p>
    <w:p w14:paraId="09E24594">
      <w:pPr>
        <w:spacing w:before="60" w:after="60"/>
      </w:pPr>
      <w:r>
        <w:rPr>
          <w:rFonts w:ascii="Arial" w:hAnsi="Arial" w:eastAsia="Arial" w:cs="Arial"/>
          <w:sz w:val="20"/>
          <w:szCs w:val="20"/>
        </w:rPr>
        <w:t>Contrairement aux anciens systèmes centralisés comme SVN, Git fonctionne de manière distribuée : chaque développeur possède une copie complète du dépôt. En 2025-2026, Git reste la référence incontournable du développement logiciel, intégré à tous les workflows DevOps modernes.</w:t>
      </w:r>
    </w:p>
    <w:p w14:paraId="507DA808"/>
    <w:p w14:paraId="7CFB6DC0">
      <w:pPr>
        <w:pBdr>
          <w:bottom w:val="single" w:color="2E75B6" w:sz="2" w:space="1"/>
        </w:pBdr>
        <w:spacing w:before="200" w:after="100"/>
      </w:pPr>
      <w:r>
        <w:rPr>
          <w:rFonts w:ascii="Arial" w:hAnsi="Arial" w:eastAsia="Arial" w:cs="Arial"/>
          <w:b/>
          <w:bCs/>
          <w:color w:val="1F3864"/>
          <w:sz w:val="26"/>
          <w:szCs w:val="26"/>
        </w:rPr>
        <w:t>2. Pourquoi ce sujet est-il d'actualité ?</w:t>
      </w:r>
    </w:p>
    <w:tbl>
      <w:tblPr>
        <w:tblStyle w:val="9"/>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53"/>
        <w:gridCol w:w="4953"/>
      </w:tblGrid>
      <w:tr w14:paraId="1063123B">
        <w:tc>
          <w:tcPr>
            <w:tcW w:w="4953"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1E37F360">
            <w:pPr>
              <w:jc w:val="center"/>
            </w:pPr>
            <w:r>
              <w:rPr>
                <w:rFonts w:ascii="Arial" w:hAnsi="Arial" w:eastAsia="Arial" w:cs="Arial"/>
                <w:b/>
                <w:bCs/>
                <w:color w:val="FFFFFF"/>
                <w:sz w:val="22"/>
                <w:szCs w:val="22"/>
              </w:rPr>
              <w:t>Tendances observées</w:t>
            </w:r>
          </w:p>
        </w:tc>
        <w:tc>
          <w:tcPr>
            <w:tcW w:w="4953"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0077743D">
            <w:pPr>
              <w:jc w:val="center"/>
            </w:pPr>
            <w:r>
              <w:rPr>
                <w:rFonts w:ascii="Arial" w:hAnsi="Arial" w:eastAsia="Arial" w:cs="Arial"/>
                <w:b/>
                <w:bCs/>
                <w:color w:val="FFFFFF"/>
                <w:sz w:val="22"/>
                <w:szCs w:val="22"/>
              </w:rPr>
              <w:t>Impact pour un développeur SLAM</w:t>
            </w:r>
          </w:p>
        </w:tc>
      </w:tr>
      <w:tr w14:paraId="711BAEB0">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34D3E9C5">
            <w:r>
              <w:rPr>
                <w:rFonts w:ascii="Arial" w:hAnsi="Arial" w:eastAsia="Arial" w:cs="Arial"/>
                <w:b w:val="0"/>
                <w:bCs w:val="0"/>
                <w:sz w:val="20"/>
                <w:szCs w:val="20"/>
              </w:rPr>
              <w:t>GitHub Copilot utilise l'historique Git pour suggérer du code</w:t>
            </w:r>
          </w:p>
        </w:tc>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052816E2">
            <w:r>
              <w:rPr>
                <w:rFonts w:ascii="Arial" w:hAnsi="Arial" w:eastAsia="Arial" w:cs="Arial"/>
                <w:b w:val="0"/>
                <w:bCs w:val="0"/>
                <w:sz w:val="20"/>
                <w:szCs w:val="20"/>
              </w:rPr>
              <w:t>Maîtriser Git devient indispensable pour travailler avec l'IA</w:t>
            </w:r>
          </w:p>
        </w:tc>
      </w:tr>
      <w:tr w14:paraId="6070323E">
        <w:tc>
          <w:tcPr>
            <w:tcW w:w="495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7DD11580">
            <w:r>
              <w:rPr>
                <w:rFonts w:ascii="Arial" w:hAnsi="Arial" w:eastAsia="Arial" w:cs="Arial"/>
                <w:b w:val="0"/>
                <w:bCs w:val="0"/>
                <w:sz w:val="20"/>
                <w:szCs w:val="20"/>
              </w:rPr>
              <w:t>Montée en puissance de GitLab CI/CD et GitHub Actions</w:t>
            </w:r>
          </w:p>
        </w:tc>
        <w:tc>
          <w:tcPr>
            <w:tcW w:w="495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11C0537A">
            <w:r>
              <w:rPr>
                <w:rFonts w:ascii="Arial" w:hAnsi="Arial" w:eastAsia="Arial" w:cs="Arial"/>
                <w:b w:val="0"/>
                <w:bCs w:val="0"/>
                <w:sz w:val="20"/>
                <w:szCs w:val="20"/>
              </w:rPr>
              <w:t>L'automatisation (DevOps) passe par Git</w:t>
            </w:r>
          </w:p>
        </w:tc>
      </w:tr>
      <w:tr w14:paraId="7FBC18C4">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2CCF7928">
            <w:r>
              <w:rPr>
                <w:rFonts w:ascii="Arial" w:hAnsi="Arial" w:eastAsia="Arial" w:cs="Arial"/>
                <w:b w:val="0"/>
                <w:bCs w:val="0"/>
                <w:sz w:val="20"/>
                <w:szCs w:val="20"/>
              </w:rPr>
              <w:t>Forgejo (alternative open-source souveraine) en progression en Europe</w:t>
            </w:r>
          </w:p>
        </w:tc>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767F5DA9">
            <w:r>
              <w:rPr>
                <w:rFonts w:ascii="Arial" w:hAnsi="Arial" w:eastAsia="Arial" w:cs="Arial"/>
                <w:b w:val="0"/>
                <w:bCs w:val="0"/>
                <w:sz w:val="20"/>
                <w:szCs w:val="20"/>
              </w:rPr>
              <w:t>Alternatives à GitHub pour héberger son code en autonomie</w:t>
            </w:r>
          </w:p>
        </w:tc>
      </w:tr>
      <w:tr w14:paraId="01F5AC40">
        <w:tc>
          <w:tcPr>
            <w:tcW w:w="495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32A6ED62">
            <w:r>
              <w:rPr>
                <w:rFonts w:ascii="Arial" w:hAnsi="Arial" w:eastAsia="Arial" w:cs="Arial"/>
                <w:b w:val="0"/>
                <w:bCs w:val="0"/>
                <w:sz w:val="20"/>
                <w:szCs w:val="20"/>
              </w:rPr>
              <w:t>Git 3.0 en développement : composants Rust, opérations plus rapides</w:t>
            </w:r>
          </w:p>
        </w:tc>
        <w:tc>
          <w:tcPr>
            <w:tcW w:w="495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12927458">
            <w:r>
              <w:rPr>
                <w:rFonts w:ascii="Arial" w:hAnsi="Arial" w:eastAsia="Arial" w:cs="Arial"/>
                <w:b w:val="0"/>
                <w:bCs w:val="0"/>
                <w:sz w:val="20"/>
                <w:szCs w:val="20"/>
              </w:rPr>
              <w:t>Git continue d'évoluer pour répondre aux projets d'envergure</w:t>
            </w:r>
          </w:p>
        </w:tc>
      </w:tr>
    </w:tbl>
    <w:p w14:paraId="0A97A3C9"/>
    <w:p w14:paraId="2F9BED1A">
      <w:pPr>
        <w:pBdr>
          <w:bottom w:val="single" w:color="2E75B6" w:sz="2" w:space="1"/>
        </w:pBdr>
        <w:spacing w:before="200" w:after="100"/>
      </w:pPr>
      <w:r>
        <w:rPr>
          <w:rFonts w:ascii="Arial" w:hAnsi="Arial" w:eastAsia="Arial" w:cs="Arial"/>
          <w:b/>
          <w:bCs/>
          <w:color w:val="1F3864"/>
          <w:sz w:val="26"/>
          <w:szCs w:val="26"/>
        </w:rPr>
        <w:t>3. Concepts clés</w:t>
      </w:r>
    </w:p>
    <w:tbl>
      <w:tblPr>
        <w:tblStyle w:val="9"/>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00"/>
        <w:gridCol w:w="7706"/>
      </w:tblGrid>
      <w:tr w14:paraId="318C2441">
        <w:tc>
          <w:tcPr>
            <w:tcW w:w="2200"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498B1702">
            <w:pPr>
              <w:jc w:val="center"/>
            </w:pPr>
            <w:r>
              <w:rPr>
                <w:rFonts w:ascii="Arial" w:hAnsi="Arial" w:eastAsia="Arial" w:cs="Arial"/>
                <w:b/>
                <w:bCs/>
                <w:color w:val="FFFFFF"/>
                <w:sz w:val="22"/>
                <w:szCs w:val="22"/>
              </w:rPr>
              <w:t>Terme</w:t>
            </w:r>
          </w:p>
        </w:tc>
        <w:tc>
          <w:tcPr>
            <w:tcW w:w="7706"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4EA6FCDF">
            <w:pPr>
              <w:jc w:val="center"/>
            </w:pPr>
            <w:r>
              <w:rPr>
                <w:rFonts w:ascii="Arial" w:hAnsi="Arial" w:eastAsia="Arial" w:cs="Arial"/>
                <w:b/>
                <w:bCs/>
                <w:color w:val="FFFFFF"/>
                <w:sz w:val="22"/>
                <w:szCs w:val="22"/>
              </w:rPr>
              <w:t>Définition</w:t>
            </w:r>
          </w:p>
        </w:tc>
      </w:tr>
      <w:tr w14:paraId="12173EB1">
        <w:tc>
          <w:tcPr>
            <w:tcW w:w="2200" w:type="dxa"/>
            <w:tcBorders>
              <w:top w:val="single" w:color="CCCCCC" w:sz="0" w:space="0"/>
              <w:left w:val="single" w:color="CCCCCC" w:sz="0" w:space="0"/>
              <w:bottom w:val="single" w:color="CCCCCC" w:sz="0" w:space="0"/>
              <w:right w:val="single" w:color="CCCCCC" w:sz="0" w:space="0"/>
            </w:tcBorders>
            <w:shd w:val="clear" w:color="auto" w:fill="EAE0F0"/>
            <w:tcMar>
              <w:top w:w="80" w:type="dxa"/>
              <w:left w:w="120" w:type="dxa"/>
              <w:bottom w:w="80" w:type="dxa"/>
              <w:right w:w="120" w:type="dxa"/>
            </w:tcMar>
          </w:tcPr>
          <w:p w14:paraId="15AC6695">
            <w:r>
              <w:rPr>
                <w:rFonts w:ascii="Arial" w:hAnsi="Arial" w:eastAsia="Arial" w:cs="Arial"/>
                <w:b/>
                <w:bCs/>
                <w:sz w:val="20"/>
                <w:szCs w:val="20"/>
              </w:rPr>
              <w:t>Commit</w:t>
            </w:r>
          </w:p>
        </w:tc>
        <w:tc>
          <w:tcPr>
            <w:tcW w:w="7706"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3BBF8C81">
            <w:r>
              <w:rPr>
                <w:rFonts w:ascii="Arial" w:hAnsi="Arial" w:eastAsia="Arial" w:cs="Arial"/>
                <w:b w:val="0"/>
                <w:bCs w:val="0"/>
                <w:sz w:val="20"/>
                <w:szCs w:val="20"/>
              </w:rPr>
              <w:t>Instantané daté et signé de l'état du projet à un moment donné</w:t>
            </w:r>
          </w:p>
        </w:tc>
      </w:tr>
      <w:tr w14:paraId="2DD45F19">
        <w:tc>
          <w:tcPr>
            <w:tcW w:w="2200" w:type="dxa"/>
            <w:tcBorders>
              <w:top w:val="single" w:color="CCCCCC" w:sz="0" w:space="0"/>
              <w:left w:val="single" w:color="CCCCCC" w:sz="0" w:space="0"/>
              <w:bottom w:val="single" w:color="CCCCCC" w:sz="0" w:space="0"/>
              <w:right w:val="single" w:color="CCCCCC" w:sz="0" w:space="0"/>
            </w:tcBorders>
            <w:shd w:val="clear" w:color="auto" w:fill="EAE0F0"/>
            <w:tcMar>
              <w:top w:w="80" w:type="dxa"/>
              <w:left w:w="120" w:type="dxa"/>
              <w:bottom w:w="80" w:type="dxa"/>
              <w:right w:w="120" w:type="dxa"/>
            </w:tcMar>
          </w:tcPr>
          <w:p w14:paraId="0C2409E6">
            <w:r>
              <w:rPr>
                <w:rFonts w:ascii="Arial" w:hAnsi="Arial" w:eastAsia="Arial" w:cs="Arial"/>
                <w:b/>
                <w:bCs/>
                <w:sz w:val="20"/>
                <w:szCs w:val="20"/>
              </w:rPr>
              <w:t>Branch</w:t>
            </w:r>
          </w:p>
        </w:tc>
        <w:tc>
          <w:tcPr>
            <w:tcW w:w="7706"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47C24D43">
            <w:r>
              <w:rPr>
                <w:rFonts w:ascii="Arial" w:hAnsi="Arial" w:eastAsia="Arial" w:cs="Arial"/>
                <w:b w:val="0"/>
                <w:bCs w:val="0"/>
                <w:sz w:val="20"/>
                <w:szCs w:val="20"/>
              </w:rPr>
              <w:t>Copie de travail isolée pour développer une fonctionnalité sans toucher au code principal</w:t>
            </w:r>
          </w:p>
        </w:tc>
      </w:tr>
      <w:tr w14:paraId="724B35BA">
        <w:tc>
          <w:tcPr>
            <w:tcW w:w="2200" w:type="dxa"/>
            <w:tcBorders>
              <w:top w:val="single" w:color="CCCCCC" w:sz="0" w:space="0"/>
              <w:left w:val="single" w:color="CCCCCC" w:sz="0" w:space="0"/>
              <w:bottom w:val="single" w:color="CCCCCC" w:sz="0" w:space="0"/>
              <w:right w:val="single" w:color="CCCCCC" w:sz="0" w:space="0"/>
            </w:tcBorders>
            <w:shd w:val="clear" w:color="auto" w:fill="EAE0F0"/>
            <w:tcMar>
              <w:top w:w="80" w:type="dxa"/>
              <w:left w:w="120" w:type="dxa"/>
              <w:bottom w:w="80" w:type="dxa"/>
              <w:right w:w="120" w:type="dxa"/>
            </w:tcMar>
          </w:tcPr>
          <w:p w14:paraId="512164C0">
            <w:r>
              <w:rPr>
                <w:rFonts w:ascii="Arial" w:hAnsi="Arial" w:eastAsia="Arial" w:cs="Arial"/>
                <w:b/>
                <w:bCs/>
                <w:sz w:val="20"/>
                <w:szCs w:val="20"/>
              </w:rPr>
              <w:t>Merge</w:t>
            </w:r>
          </w:p>
        </w:tc>
        <w:tc>
          <w:tcPr>
            <w:tcW w:w="7706"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26009E02">
            <w:r>
              <w:rPr>
                <w:rFonts w:ascii="Arial" w:hAnsi="Arial" w:eastAsia="Arial" w:cs="Arial"/>
                <w:b w:val="0"/>
                <w:bCs w:val="0"/>
                <w:sz w:val="20"/>
                <w:szCs w:val="20"/>
              </w:rPr>
              <w:t>Fusion de deux branches : intégration des modifications dans la branche principale</w:t>
            </w:r>
          </w:p>
        </w:tc>
      </w:tr>
      <w:tr w14:paraId="5D1404FC">
        <w:tc>
          <w:tcPr>
            <w:tcW w:w="2200" w:type="dxa"/>
            <w:tcBorders>
              <w:top w:val="single" w:color="CCCCCC" w:sz="0" w:space="0"/>
              <w:left w:val="single" w:color="CCCCCC" w:sz="0" w:space="0"/>
              <w:bottom w:val="single" w:color="CCCCCC" w:sz="0" w:space="0"/>
              <w:right w:val="single" w:color="CCCCCC" w:sz="0" w:space="0"/>
            </w:tcBorders>
            <w:shd w:val="clear" w:color="auto" w:fill="EAE0F0"/>
            <w:tcMar>
              <w:top w:w="80" w:type="dxa"/>
              <w:left w:w="120" w:type="dxa"/>
              <w:bottom w:w="80" w:type="dxa"/>
              <w:right w:w="120" w:type="dxa"/>
            </w:tcMar>
          </w:tcPr>
          <w:p w14:paraId="415FBF2D">
            <w:r>
              <w:rPr>
                <w:rFonts w:ascii="Arial" w:hAnsi="Arial" w:eastAsia="Arial" w:cs="Arial"/>
                <w:b/>
                <w:bCs/>
                <w:sz w:val="20"/>
                <w:szCs w:val="20"/>
              </w:rPr>
              <w:t>Pull Request</w:t>
            </w:r>
          </w:p>
        </w:tc>
        <w:tc>
          <w:tcPr>
            <w:tcW w:w="7706"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2B88F290">
            <w:r>
              <w:rPr>
                <w:rFonts w:ascii="Arial" w:hAnsi="Arial" w:eastAsia="Arial" w:cs="Arial"/>
                <w:b w:val="0"/>
                <w:bCs w:val="0"/>
                <w:sz w:val="20"/>
                <w:szCs w:val="20"/>
              </w:rPr>
              <w:t>Demande formelle de fusion : permet la revue de code par l'équipe avant intégration</w:t>
            </w:r>
          </w:p>
        </w:tc>
      </w:tr>
      <w:tr w14:paraId="4EB3CF81">
        <w:tc>
          <w:tcPr>
            <w:tcW w:w="2200" w:type="dxa"/>
            <w:tcBorders>
              <w:top w:val="single" w:color="CCCCCC" w:sz="0" w:space="0"/>
              <w:left w:val="single" w:color="CCCCCC" w:sz="0" w:space="0"/>
              <w:bottom w:val="single" w:color="CCCCCC" w:sz="0" w:space="0"/>
              <w:right w:val="single" w:color="CCCCCC" w:sz="0" w:space="0"/>
            </w:tcBorders>
            <w:shd w:val="clear" w:color="auto" w:fill="EAE0F0"/>
            <w:tcMar>
              <w:top w:w="80" w:type="dxa"/>
              <w:left w:w="120" w:type="dxa"/>
              <w:bottom w:w="80" w:type="dxa"/>
              <w:right w:w="120" w:type="dxa"/>
            </w:tcMar>
          </w:tcPr>
          <w:p w14:paraId="65361F20">
            <w:r>
              <w:rPr>
                <w:rFonts w:ascii="Arial" w:hAnsi="Arial" w:eastAsia="Arial" w:cs="Arial"/>
                <w:b/>
                <w:bCs/>
                <w:sz w:val="20"/>
                <w:szCs w:val="20"/>
              </w:rPr>
              <w:t>Fork</w:t>
            </w:r>
          </w:p>
        </w:tc>
        <w:tc>
          <w:tcPr>
            <w:tcW w:w="7706"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1B2409DE">
            <w:r>
              <w:rPr>
                <w:rFonts w:ascii="Arial" w:hAnsi="Arial" w:eastAsia="Arial" w:cs="Arial"/>
                <w:b w:val="0"/>
                <w:bCs w:val="0"/>
                <w:sz w:val="20"/>
                <w:szCs w:val="20"/>
              </w:rPr>
              <w:t>Copie indépendante d'un dépôt, utilisée pour contribuer à un projet open-source</w:t>
            </w:r>
          </w:p>
        </w:tc>
      </w:tr>
      <w:tr w14:paraId="5B6D4523">
        <w:tc>
          <w:tcPr>
            <w:tcW w:w="2200" w:type="dxa"/>
            <w:tcBorders>
              <w:top w:val="single" w:color="CCCCCC" w:sz="0" w:space="0"/>
              <w:left w:val="single" w:color="CCCCCC" w:sz="0" w:space="0"/>
              <w:bottom w:val="single" w:color="CCCCCC" w:sz="0" w:space="0"/>
              <w:right w:val="single" w:color="CCCCCC" w:sz="0" w:space="0"/>
            </w:tcBorders>
            <w:shd w:val="clear" w:color="auto" w:fill="EAE0F0"/>
            <w:tcMar>
              <w:top w:w="80" w:type="dxa"/>
              <w:left w:w="120" w:type="dxa"/>
              <w:bottom w:w="80" w:type="dxa"/>
              <w:right w:w="120" w:type="dxa"/>
            </w:tcMar>
          </w:tcPr>
          <w:p w14:paraId="3322B05C">
            <w:r>
              <w:rPr>
                <w:rFonts w:ascii="Arial" w:hAnsi="Arial" w:eastAsia="Arial" w:cs="Arial"/>
                <w:b/>
                <w:bCs/>
                <w:sz w:val="20"/>
                <w:szCs w:val="20"/>
              </w:rPr>
              <w:t>CI/CD</w:t>
            </w:r>
          </w:p>
        </w:tc>
        <w:tc>
          <w:tcPr>
            <w:tcW w:w="7706"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0F05E3DD">
            <w:r>
              <w:rPr>
                <w:rFonts w:ascii="Arial" w:hAnsi="Arial" w:eastAsia="Arial" w:cs="Arial"/>
                <w:b w:val="0"/>
                <w:bCs w:val="0"/>
                <w:sz w:val="20"/>
                <w:szCs w:val="20"/>
              </w:rPr>
              <w:t>Intégration et déploiement continu : Git déclenche automatiquement des tests et déploiements</w:t>
            </w:r>
          </w:p>
        </w:tc>
      </w:tr>
    </w:tbl>
    <w:p w14:paraId="2196D8EC"/>
    <w:p w14:paraId="06D9F7E3">
      <w:pPr>
        <w:pBdr>
          <w:bottom w:val="single" w:color="2E75B6" w:sz="2" w:space="1"/>
        </w:pBdr>
        <w:spacing w:before="200" w:after="100"/>
      </w:pPr>
      <w:r>
        <w:rPr>
          <w:rFonts w:ascii="Arial" w:hAnsi="Arial" w:eastAsia="Arial" w:cs="Arial"/>
          <w:b/>
          <w:bCs/>
          <w:color w:val="1F3864"/>
          <w:sz w:val="26"/>
          <w:szCs w:val="26"/>
        </w:rPr>
        <w:t>4. Méthode de veille utilisée — PUSH</w:t>
      </w:r>
    </w:p>
    <w:p w14:paraId="227B669F">
      <w:pPr>
        <w:spacing w:before="60" w:after="60"/>
      </w:pPr>
      <w:r>
        <w:rPr>
          <w:rFonts w:ascii="Arial" w:hAnsi="Arial" w:eastAsia="Arial" w:cs="Arial"/>
          <w:sz w:val="20"/>
          <w:szCs w:val="20"/>
        </w:rPr>
        <w:t>La méthode Push consiste à recevoir automatiquement l'information sans recherche active. Voici les outils mis en place :</w:t>
      </w:r>
    </w:p>
    <w:tbl>
      <w:tblPr>
        <w:tblStyle w:val="9"/>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500"/>
        <w:gridCol w:w="3703"/>
        <w:gridCol w:w="3703"/>
      </w:tblGrid>
      <w:tr w14:paraId="2FC27B2E">
        <w:tc>
          <w:tcPr>
            <w:tcW w:w="2500"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12A7EC13">
            <w:pPr>
              <w:jc w:val="center"/>
            </w:pPr>
            <w:r>
              <w:rPr>
                <w:rFonts w:ascii="Arial" w:hAnsi="Arial" w:eastAsia="Arial" w:cs="Arial"/>
                <w:b/>
                <w:bCs/>
                <w:color w:val="FFFFFF"/>
                <w:sz w:val="22"/>
                <w:szCs w:val="22"/>
              </w:rPr>
              <w:t>Outil</w:t>
            </w:r>
          </w:p>
        </w:tc>
        <w:tc>
          <w:tcPr>
            <w:tcW w:w="3703"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3149181A">
            <w:pPr>
              <w:jc w:val="center"/>
            </w:pPr>
            <w:r>
              <w:rPr>
                <w:rFonts w:ascii="Arial" w:hAnsi="Arial" w:eastAsia="Arial" w:cs="Arial"/>
                <w:b/>
                <w:bCs/>
                <w:color w:val="FFFFFF"/>
                <w:sz w:val="22"/>
                <w:szCs w:val="22"/>
              </w:rPr>
              <w:t>Configuration</w:t>
            </w:r>
          </w:p>
        </w:tc>
        <w:tc>
          <w:tcPr>
            <w:tcW w:w="3703" w:type="dxa"/>
            <w:tcBorders>
              <w:top w:val="single" w:color="CCCCCC" w:sz="0" w:space="0"/>
              <w:left w:val="single" w:color="CCCCCC" w:sz="0" w:space="0"/>
              <w:bottom w:val="single" w:color="CCCCCC" w:sz="0" w:space="0"/>
              <w:right w:val="single" w:color="CCCCCC" w:sz="0" w:space="0"/>
            </w:tcBorders>
            <w:shd w:val="clear" w:color="auto" w:fill="1F3864"/>
            <w:tcMar>
              <w:top w:w="100" w:type="dxa"/>
              <w:left w:w="120" w:type="dxa"/>
              <w:bottom w:w="100" w:type="dxa"/>
              <w:right w:w="120" w:type="dxa"/>
            </w:tcMar>
          </w:tcPr>
          <w:p w14:paraId="41EDBBCD">
            <w:pPr>
              <w:jc w:val="center"/>
            </w:pPr>
            <w:r>
              <w:rPr>
                <w:rFonts w:ascii="Arial" w:hAnsi="Arial" w:eastAsia="Arial" w:cs="Arial"/>
                <w:b/>
                <w:bCs/>
                <w:color w:val="FFFFFF"/>
                <w:sz w:val="22"/>
                <w:szCs w:val="22"/>
              </w:rPr>
              <w:t>Fréquence de réception</w:t>
            </w:r>
          </w:p>
        </w:tc>
      </w:tr>
      <w:tr w14:paraId="324289B7">
        <w:tc>
          <w:tcPr>
            <w:tcW w:w="2500"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05D56C72">
            <w:r>
              <w:rPr>
                <w:rFonts w:ascii="Arial" w:hAnsi="Arial" w:eastAsia="Arial" w:cs="Arial"/>
                <w:b/>
                <w:bCs/>
                <w:sz w:val="20"/>
                <w:szCs w:val="20"/>
              </w:rPr>
              <w:t>Google Alerts</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26B56999">
            <w:r>
              <w:rPr>
                <w:rFonts w:ascii="Arial" w:hAnsi="Arial" w:eastAsia="Arial" w:cs="Arial"/>
                <w:b w:val="0"/>
                <w:bCs w:val="0"/>
                <w:sz w:val="20"/>
                <w:szCs w:val="20"/>
              </w:rPr>
              <w:t>Mots-clés : "Git", "</w:t>
            </w:r>
            <w:bookmarkStart w:id="0" w:name="_GoBack"/>
            <w:r>
              <w:rPr>
                <w:rFonts w:ascii="Arial" w:hAnsi="Arial" w:eastAsia="Arial" w:cs="Arial"/>
                <w:b w:val="0"/>
                <w:bCs w:val="0"/>
                <w:sz w:val="20"/>
                <w:szCs w:val="20"/>
              </w:rPr>
              <w:t>GitHub Copilo</w:t>
            </w:r>
            <w:bookmarkEnd w:id="0"/>
            <w:r>
              <w:rPr>
                <w:rFonts w:ascii="Arial" w:hAnsi="Arial" w:eastAsia="Arial" w:cs="Arial"/>
                <w:b w:val="0"/>
                <w:bCs w:val="0"/>
                <w:sz w:val="20"/>
                <w:szCs w:val="20"/>
              </w:rPr>
              <w:t>t", "versioning 2025"</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66BD2081">
            <w:r>
              <w:rPr>
                <w:rFonts w:ascii="Arial" w:hAnsi="Arial" w:eastAsia="Arial" w:cs="Arial"/>
                <w:b w:val="0"/>
                <w:bCs w:val="0"/>
                <w:sz w:val="20"/>
                <w:szCs w:val="20"/>
              </w:rPr>
              <w:t>Quotidienne par email</w:t>
            </w:r>
          </w:p>
        </w:tc>
      </w:tr>
      <w:tr w14:paraId="0239295D">
        <w:tc>
          <w:tcPr>
            <w:tcW w:w="2500"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472C433E">
            <w:r>
              <w:rPr>
                <w:rFonts w:ascii="Arial" w:hAnsi="Arial" w:eastAsia="Arial" w:cs="Arial"/>
                <w:b/>
                <w:bCs/>
                <w:sz w:val="20"/>
                <w:szCs w:val="20"/>
              </w:rPr>
              <w:t>Feedly (RSS)</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6BCABC14">
            <w:r>
              <w:rPr>
                <w:rFonts w:ascii="Arial" w:hAnsi="Arial" w:eastAsia="Arial" w:cs="Arial"/>
                <w:b w:val="0"/>
                <w:bCs w:val="0"/>
                <w:sz w:val="20"/>
                <w:szCs w:val="20"/>
              </w:rPr>
              <w:t>Flux : dev.to, github.blog, css-tricks.com, blog.git-scm.com</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695B7940">
            <w:r>
              <w:rPr>
                <w:rFonts w:ascii="Arial" w:hAnsi="Arial" w:eastAsia="Arial" w:cs="Arial"/>
                <w:b w:val="0"/>
                <w:bCs w:val="0"/>
                <w:sz w:val="20"/>
                <w:szCs w:val="20"/>
              </w:rPr>
              <w:t>Temps réel dans l'appli</w:t>
            </w:r>
          </w:p>
        </w:tc>
      </w:tr>
      <w:tr w14:paraId="1EF0EFFC">
        <w:tc>
          <w:tcPr>
            <w:tcW w:w="2500"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32A846FF">
            <w:r>
              <w:rPr>
                <w:rFonts w:ascii="Arial" w:hAnsi="Arial" w:eastAsia="Arial" w:cs="Arial"/>
                <w:b/>
                <w:bCs/>
                <w:sz w:val="20"/>
                <w:szCs w:val="20"/>
              </w:rPr>
              <w:t>Twitter/X</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2330D786">
            <w:r>
              <w:rPr>
                <w:rFonts w:ascii="Arial" w:hAnsi="Arial" w:eastAsia="Arial" w:cs="Arial"/>
                <w:b w:val="0"/>
                <w:bCs w:val="0"/>
                <w:sz w:val="20"/>
                <w:szCs w:val="20"/>
              </w:rPr>
              <w:t>Comptes suivis : @github, @gitlab, @thepracticaldev</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4A19147F">
            <w:r>
              <w:rPr>
                <w:rFonts w:ascii="Arial" w:hAnsi="Arial" w:eastAsia="Arial" w:cs="Arial"/>
                <w:b w:val="0"/>
                <w:bCs w:val="0"/>
                <w:sz w:val="20"/>
                <w:szCs w:val="20"/>
              </w:rPr>
              <w:t>Selon activité du fil</w:t>
            </w:r>
          </w:p>
        </w:tc>
      </w:tr>
      <w:tr w14:paraId="45682211">
        <w:tc>
          <w:tcPr>
            <w:tcW w:w="2500"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27526F5A">
            <w:r>
              <w:rPr>
                <w:rFonts w:ascii="Arial" w:hAnsi="Arial" w:eastAsia="Arial" w:cs="Arial"/>
                <w:b/>
                <w:bCs/>
                <w:sz w:val="20"/>
                <w:szCs w:val="20"/>
              </w:rPr>
              <w:t>LinkedIn</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6EAF5A2F">
            <w:r>
              <w:rPr>
                <w:rFonts w:ascii="Arial" w:hAnsi="Arial" w:eastAsia="Arial" w:cs="Arial"/>
                <w:b w:val="0"/>
                <w:bCs w:val="0"/>
                <w:sz w:val="20"/>
                <w:szCs w:val="20"/>
              </w:rPr>
              <w:t>Pages : GitHub, GitLab ; hashtags #git #devops</w:t>
            </w:r>
          </w:p>
        </w:tc>
        <w:tc>
          <w:tcPr>
            <w:tcW w:w="3703" w:type="dxa"/>
            <w:tcBorders>
              <w:top w:val="single" w:color="CCCCCC" w:sz="0" w:space="0"/>
              <w:left w:val="single" w:color="CCCCCC" w:sz="0" w:space="0"/>
              <w:bottom w:val="single" w:color="CCCCCC" w:sz="0" w:space="0"/>
              <w:right w:val="single" w:color="CCCCCC" w:sz="0" w:space="0"/>
            </w:tcBorders>
            <w:shd w:val="clear" w:color="auto" w:fill="FFFFFF"/>
            <w:tcMar>
              <w:top w:w="80" w:type="dxa"/>
              <w:left w:w="120" w:type="dxa"/>
              <w:bottom w:w="80" w:type="dxa"/>
              <w:right w:w="120" w:type="dxa"/>
            </w:tcMar>
          </w:tcPr>
          <w:p w14:paraId="105109DE">
            <w:r>
              <w:rPr>
                <w:rFonts w:ascii="Arial" w:hAnsi="Arial" w:eastAsia="Arial" w:cs="Arial"/>
                <w:b w:val="0"/>
                <w:bCs w:val="0"/>
                <w:sz w:val="20"/>
                <w:szCs w:val="20"/>
              </w:rPr>
              <w:t>Plusieurs fois par semaine</w:t>
            </w:r>
          </w:p>
        </w:tc>
      </w:tr>
    </w:tbl>
    <w:p w14:paraId="0D7D9ED7"/>
    <w:p w14:paraId="7B6F11F6">
      <w:pPr>
        <w:pBdr>
          <w:bottom w:val="single" w:color="2E75B6" w:sz="2" w:space="1"/>
        </w:pBdr>
        <w:spacing w:before="200" w:after="100"/>
      </w:pPr>
      <w:r>
        <w:rPr>
          <w:rFonts w:ascii="Arial" w:hAnsi="Arial" w:eastAsia="Arial" w:cs="Arial"/>
          <w:b/>
          <w:bCs/>
          <w:color w:val="1F3864"/>
          <w:sz w:val="26"/>
          <w:szCs w:val="26"/>
        </w:rPr>
        <w:t>5. Informations collectées</w:t>
      </w:r>
    </w:p>
    <w:p w14:paraId="13A98039">
      <w:pPr>
        <w:pStyle w:val="16"/>
        <w:numPr>
          <w:ilvl w:val="0"/>
          <w:numId w:val="1"/>
        </w:numPr>
        <w:spacing w:before="40" w:after="40"/>
      </w:pPr>
      <w:r>
        <w:rPr>
          <w:rFonts w:ascii="Arial" w:hAnsi="Arial" w:eastAsia="Arial" w:cs="Arial"/>
          <w:sz w:val="20"/>
          <w:szCs w:val="20"/>
        </w:rPr>
        <w:t>Git reste en 2025-2026 l'outil de versioning standard dans 95 % des organisations, aucun concurrent sérieux ne le menace pour le développement logiciel classique.</w:t>
      </w:r>
    </w:p>
    <w:p w14:paraId="3BFCFEE0">
      <w:pPr>
        <w:pStyle w:val="16"/>
        <w:numPr>
          <w:ilvl w:val="0"/>
          <w:numId w:val="1"/>
        </w:numPr>
        <w:spacing w:before="40" w:after="40"/>
      </w:pPr>
      <w:r>
        <w:rPr>
          <w:rFonts w:ascii="Arial" w:hAnsi="Arial" w:eastAsia="Arial" w:cs="Arial"/>
          <w:sz w:val="20"/>
          <w:szCs w:val="20"/>
        </w:rPr>
        <w:t>GitHub Copilot exploite l'historique des commits Git pour apprendre et suggérer du code pertinent — Git et IA sont désormais liés.</w:t>
      </w:r>
    </w:p>
    <w:p w14:paraId="05606B8E">
      <w:pPr>
        <w:pStyle w:val="16"/>
        <w:numPr>
          <w:ilvl w:val="0"/>
          <w:numId w:val="1"/>
        </w:numPr>
        <w:spacing w:before="40" w:after="40"/>
      </w:pPr>
      <w:r>
        <w:rPr>
          <w:rFonts w:ascii="Arial" w:hAnsi="Arial" w:eastAsia="Arial" w:cs="Arial"/>
          <w:sz w:val="20"/>
          <w:szCs w:val="20"/>
        </w:rPr>
        <w:t>Forgejo, alternative open-source à GitHub hébergeable soi-même, gagne du terrain en Europe pour des raisons de souveraineté des données.</w:t>
      </w:r>
    </w:p>
    <w:p w14:paraId="54F2CECD">
      <w:pPr>
        <w:pStyle w:val="16"/>
        <w:numPr>
          <w:ilvl w:val="0"/>
          <w:numId w:val="1"/>
        </w:numPr>
        <w:spacing w:before="40" w:after="40"/>
      </w:pPr>
      <w:r>
        <w:rPr>
          <w:rFonts w:ascii="Arial" w:hAnsi="Arial" w:eastAsia="Arial" w:cs="Arial"/>
          <w:sz w:val="20"/>
          <w:szCs w:val="20"/>
        </w:rPr>
        <w:t>Le développement de Git 3.0 intègre des composants en Rust pour améliorer les performances et la sécurité mémoire sur les grands dépôts.</w:t>
      </w:r>
    </w:p>
    <w:p w14:paraId="5D8EC50F">
      <w:pPr>
        <w:pStyle w:val="16"/>
        <w:numPr>
          <w:ilvl w:val="0"/>
          <w:numId w:val="1"/>
        </w:numPr>
        <w:spacing w:before="40" w:after="40"/>
      </w:pPr>
      <w:r>
        <w:rPr>
          <w:rFonts w:ascii="Arial" w:hAnsi="Arial" w:eastAsia="Arial" w:cs="Arial"/>
          <w:sz w:val="20"/>
          <w:szCs w:val="20"/>
        </w:rPr>
        <w:t>Les workflows Git (Gitflow, Trunk-Based Development) évoluent pour s'adapter aux pratiques DevOps et à la livraison continue.</w:t>
      </w:r>
    </w:p>
    <w:p w14:paraId="02BF3747"/>
    <w:p w14:paraId="1A297BCA">
      <w:pPr>
        <w:pBdr>
          <w:bottom w:val="single" w:color="2E75B6" w:sz="2" w:space="1"/>
        </w:pBdr>
        <w:spacing w:before="200" w:after="100"/>
      </w:pPr>
      <w:r>
        <w:rPr>
          <w:rFonts w:hint="default" w:cs="Arial"/>
          <w:b/>
          <w:bCs/>
          <w:color w:val="1F3864"/>
          <w:sz w:val="26"/>
          <w:szCs w:val="26"/>
          <w:lang w:val="en-US"/>
        </w:rPr>
        <w:t>6</w:t>
      </w:r>
      <w:r>
        <w:rPr>
          <w:rFonts w:ascii="Arial" w:hAnsi="Arial" w:eastAsia="Arial" w:cs="Arial"/>
          <w:b/>
          <w:bCs/>
          <w:color w:val="1F3864"/>
          <w:sz w:val="26"/>
          <w:szCs w:val="26"/>
        </w:rPr>
        <w:t>. Analyse critique</w:t>
      </w:r>
    </w:p>
    <w:tbl>
      <w:tblPr>
        <w:tblStyle w:val="9"/>
        <w:tblW w:w="9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53"/>
        <w:gridCol w:w="4953"/>
      </w:tblGrid>
      <w:tr w14:paraId="42ACFD2B">
        <w:tc>
          <w:tcPr>
            <w:tcW w:w="4953" w:type="dxa"/>
            <w:tcBorders>
              <w:top w:val="single" w:color="CCCCCC" w:sz="0" w:space="0"/>
              <w:left w:val="single" w:color="CCCCCC" w:sz="0" w:space="0"/>
              <w:bottom w:val="single" w:color="CCCCCC" w:sz="0" w:space="0"/>
              <w:right w:val="single" w:color="CCCCCC" w:sz="0" w:space="0"/>
            </w:tcBorders>
            <w:shd w:val="clear" w:color="auto" w:fill="2E7D32"/>
            <w:tcMar>
              <w:top w:w="100" w:type="dxa"/>
              <w:left w:w="120" w:type="dxa"/>
              <w:bottom w:w="100" w:type="dxa"/>
              <w:right w:w="120" w:type="dxa"/>
            </w:tcMar>
          </w:tcPr>
          <w:p w14:paraId="6D912B30">
            <w:pPr>
              <w:jc w:val="center"/>
            </w:pPr>
            <w:r>
              <w:rPr>
                <w:rFonts w:ascii="Arial" w:hAnsi="Arial" w:eastAsia="Arial" w:cs="Arial"/>
                <w:b/>
                <w:bCs/>
                <w:color w:val="FFFFFF"/>
                <w:sz w:val="22"/>
                <w:szCs w:val="22"/>
              </w:rPr>
              <w:t>Points positifs</w:t>
            </w:r>
          </w:p>
        </w:tc>
        <w:tc>
          <w:tcPr>
            <w:tcW w:w="4953" w:type="dxa"/>
            <w:tcBorders>
              <w:top w:val="single" w:color="CCCCCC" w:sz="0" w:space="0"/>
              <w:left w:val="single" w:color="CCCCCC" w:sz="0" w:space="0"/>
              <w:bottom w:val="single" w:color="CCCCCC" w:sz="0" w:space="0"/>
              <w:right w:val="single" w:color="CCCCCC" w:sz="0" w:space="0"/>
            </w:tcBorders>
            <w:shd w:val="clear" w:color="auto" w:fill="C62828"/>
            <w:tcMar>
              <w:top w:w="100" w:type="dxa"/>
              <w:left w:w="120" w:type="dxa"/>
              <w:bottom w:w="100" w:type="dxa"/>
              <w:right w:w="120" w:type="dxa"/>
            </w:tcMar>
          </w:tcPr>
          <w:p w14:paraId="522C373F">
            <w:pPr>
              <w:jc w:val="center"/>
            </w:pPr>
            <w:r>
              <w:rPr>
                <w:rFonts w:ascii="Arial" w:hAnsi="Arial" w:eastAsia="Arial" w:cs="Arial"/>
                <w:b/>
                <w:bCs/>
                <w:color w:val="FFFFFF"/>
                <w:sz w:val="22"/>
                <w:szCs w:val="22"/>
              </w:rPr>
              <w:t>Points de vigilance</w:t>
            </w:r>
          </w:p>
        </w:tc>
      </w:tr>
      <w:tr w14:paraId="1DCB89FE">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362137C5">
            <w:r>
              <w:rPr>
                <w:rFonts w:ascii="Arial" w:hAnsi="Arial" w:eastAsia="Arial" w:cs="Arial"/>
                <w:b w:val="0"/>
                <w:bCs w:val="0"/>
                <w:sz w:val="20"/>
                <w:szCs w:val="20"/>
              </w:rPr>
              <w:t>Standard universel : toutes les entreprises utilisent Git</w:t>
            </w:r>
          </w:p>
        </w:tc>
        <w:tc>
          <w:tcPr>
            <w:tcW w:w="4953"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1501D931">
            <w:r>
              <w:rPr>
                <w:rFonts w:ascii="Arial" w:hAnsi="Arial" w:eastAsia="Arial" w:cs="Arial"/>
                <w:b w:val="0"/>
                <w:bCs w:val="0"/>
                <w:sz w:val="20"/>
                <w:szCs w:val="20"/>
              </w:rPr>
              <w:t>Courbe d'apprentissage : les conflits de merge restent complexes pour les débutants</w:t>
            </w:r>
          </w:p>
        </w:tc>
      </w:tr>
      <w:tr w14:paraId="614182E7">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60B5D346">
            <w:r>
              <w:rPr>
                <w:rFonts w:ascii="Arial" w:hAnsi="Arial" w:eastAsia="Arial" w:cs="Arial"/>
                <w:b w:val="0"/>
                <w:bCs w:val="0"/>
                <w:sz w:val="20"/>
                <w:szCs w:val="20"/>
              </w:rPr>
              <w:t>Intégration native avec tous les outils DevOps (CI/CD, Docker, Kubernetes)</w:t>
            </w:r>
          </w:p>
        </w:tc>
        <w:tc>
          <w:tcPr>
            <w:tcW w:w="4953"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458A80EA">
            <w:r>
              <w:rPr>
                <w:rFonts w:ascii="Arial" w:hAnsi="Arial" w:eastAsia="Arial" w:cs="Arial"/>
                <w:b w:val="0"/>
                <w:bCs w:val="0"/>
                <w:sz w:val="20"/>
                <w:szCs w:val="20"/>
              </w:rPr>
              <w:t>Mauvaises pratiques fréquentes : commits peu descriptifs, branches non supprimées</w:t>
            </w:r>
          </w:p>
        </w:tc>
      </w:tr>
      <w:tr w14:paraId="3A1FBF9C">
        <w:tc>
          <w:tcPr>
            <w:tcW w:w="4953" w:type="dxa"/>
            <w:tcBorders>
              <w:top w:val="single" w:color="CCCCCC" w:sz="0" w:space="0"/>
              <w:left w:val="single" w:color="CCCCCC" w:sz="0" w:space="0"/>
              <w:bottom w:val="single" w:color="CCCCCC" w:sz="0" w:space="0"/>
              <w:right w:val="single" w:color="CCCCCC" w:sz="0" w:space="0"/>
            </w:tcBorders>
            <w:shd w:val="clear" w:color="auto" w:fill="E2EFDA"/>
            <w:tcMar>
              <w:top w:w="80" w:type="dxa"/>
              <w:left w:w="120" w:type="dxa"/>
              <w:bottom w:w="80" w:type="dxa"/>
              <w:right w:w="120" w:type="dxa"/>
            </w:tcMar>
          </w:tcPr>
          <w:p w14:paraId="150B996D">
            <w:r>
              <w:rPr>
                <w:rFonts w:ascii="Arial" w:hAnsi="Arial" w:eastAsia="Arial" w:cs="Arial"/>
                <w:b w:val="0"/>
                <w:bCs w:val="0"/>
                <w:sz w:val="20"/>
                <w:szCs w:val="20"/>
              </w:rPr>
              <w:t>Historique complet et traçabilité totale des modifications</w:t>
            </w:r>
          </w:p>
        </w:tc>
        <w:tc>
          <w:tcPr>
            <w:tcW w:w="4953" w:type="dxa"/>
            <w:tcBorders>
              <w:top w:val="single" w:color="CCCCCC" w:sz="0" w:space="0"/>
              <w:left w:val="single" w:color="CCCCCC" w:sz="0" w:space="0"/>
              <w:bottom w:val="single" w:color="CCCCCC" w:sz="0" w:space="0"/>
              <w:right w:val="single" w:color="CCCCCC" w:sz="0" w:space="0"/>
            </w:tcBorders>
            <w:shd w:val="clear" w:color="auto" w:fill="FCE4D6"/>
            <w:tcMar>
              <w:top w:w="80" w:type="dxa"/>
              <w:left w:w="120" w:type="dxa"/>
              <w:bottom w:w="80" w:type="dxa"/>
              <w:right w:w="120" w:type="dxa"/>
            </w:tcMar>
          </w:tcPr>
          <w:p w14:paraId="307583C9">
            <w:r>
              <w:rPr>
                <w:rFonts w:ascii="Arial" w:hAnsi="Arial" w:eastAsia="Arial" w:cs="Arial"/>
                <w:b w:val="0"/>
                <w:bCs w:val="0"/>
                <w:sz w:val="20"/>
                <w:szCs w:val="20"/>
              </w:rPr>
              <w:t>Git ne gère pas bien les fichiers binaires lourds (images, vidéos)</w:t>
            </w:r>
          </w:p>
        </w:tc>
      </w:tr>
    </w:tbl>
    <w:p w14:paraId="7B137572"/>
    <w:p w14:paraId="11C75AB3">
      <w:pPr>
        <w:pBdr>
          <w:top w:val="single" w:color="2E75B6" w:sz="4" w:space="1"/>
        </w:pBdr>
        <w:spacing w:before="200"/>
        <w:jc w:val="center"/>
      </w:pPr>
      <w:r>
        <w:rPr>
          <w:rFonts w:ascii="Arial" w:hAnsi="Arial" w:eastAsia="Arial" w:cs="Arial"/>
          <w:i/>
          <w:iCs/>
          <w:color w:val="666666"/>
          <w:sz w:val="18"/>
          <w:szCs w:val="18"/>
        </w:rPr>
        <w:t>Fiche réalisée dans le cadre de l'épreuve E4 – BTS SIO SLAM – Session 2025-2026</w:t>
      </w:r>
    </w:p>
    <w:sectPr>
      <w:pgSz w:w="11906" w:h="16838"/>
      <w:pgMar w:top="1000" w:right="1000" w:bottom="1000" w:left="100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Arial">
    <w:panose1 w:val="020B0704020202020204"/>
    <w:charset w:val="86"/>
    <w:family w:val="swiss"/>
    <w:pitch w:val="default"/>
    <w:sig w:usb0="E0002AFF" w:usb1="C0007843" w:usb2="00000009" w:usb3="00000000" w:csb0="400001FF" w:csb1="FFFF0000"/>
  </w:font>
  <w:font w:name="SimHei">
    <w:altName w:val="汉仪中黑KW"/>
    <w:panose1 w:val="02010600030101010101"/>
    <w:charset w:val="00"/>
    <w:family w:val="auto"/>
    <w:pitch w:val="default"/>
    <w:sig w:usb0="00000001" w:usb1="080E0000" w:usb2="00000010" w:usb3="00000000" w:csb0="00040000" w:csb1="00000000"/>
  </w:font>
  <w:font w:name="Courier New">
    <w:panose1 w:val="02070609020205020404"/>
    <w:charset w:val="00"/>
    <w:family w:val="modern"/>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
    <w:altName w:val="汉仪书宋二KW"/>
    <w:panose1 w:val="02010600030101010101"/>
    <w:charset w:val="86"/>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A5B2E"/>
    <w:multiLevelType w:val="singleLevel"/>
    <w:tmpl w:val="DBEA5B2E"/>
    <w:lvl w:ilvl="0" w:tentative="0">
      <w:start w:val="1"/>
      <w:numFmt w:val="bullet"/>
      <w:lvlText w:val="•"/>
      <w:lvlJc w:val="left"/>
      <w:pPr>
        <w:ind w:left="72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compatSetting w:name="compatibilityMode" w:uri="http://schemas.microsoft.com/office/word" w:val="15"/>
  </w:compat>
  <w:rsids>
    <w:rsidRoot w:val="00000000"/>
    <w:rsid w:val="3DF543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iPriority="99" w:name="endnote reference"/>
    <w:lsdException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eastAsia="Arial" w:cs="Arial"/>
      <w:sz w:val="20"/>
      <w:szCs w:val="20"/>
    </w:rPr>
  </w:style>
  <w:style w:type="paragraph" w:styleId="2">
    <w:name w:val="heading 1"/>
    <w:next w:val="1"/>
    <w:qFormat/>
    <w:uiPriority w:val="0"/>
    <w:rPr>
      <w:rFonts w:ascii="Arial" w:hAnsi="Arial" w:eastAsia="Arial" w:cs="Arial"/>
      <w:color w:val="2E74B5"/>
      <w:sz w:val="32"/>
      <w:szCs w:val="32"/>
    </w:rPr>
  </w:style>
  <w:style w:type="paragraph" w:styleId="3">
    <w:name w:val="heading 2"/>
    <w:next w:val="1"/>
    <w:qFormat/>
    <w:uiPriority w:val="0"/>
    <w:rPr>
      <w:rFonts w:ascii="Arial" w:hAnsi="Arial" w:eastAsia="Arial" w:cs="Arial"/>
      <w:color w:val="2E74B5"/>
      <w:sz w:val="26"/>
      <w:szCs w:val="26"/>
    </w:rPr>
  </w:style>
  <w:style w:type="paragraph" w:styleId="4">
    <w:name w:val="heading 3"/>
    <w:next w:val="1"/>
    <w:qFormat/>
    <w:uiPriority w:val="0"/>
    <w:rPr>
      <w:rFonts w:ascii="Arial" w:hAnsi="Arial" w:eastAsia="Arial" w:cs="Arial"/>
      <w:color w:val="1F4D78"/>
      <w:sz w:val="24"/>
      <w:szCs w:val="24"/>
    </w:rPr>
  </w:style>
  <w:style w:type="paragraph" w:styleId="5">
    <w:name w:val="heading 4"/>
    <w:next w:val="1"/>
    <w:qFormat/>
    <w:uiPriority w:val="0"/>
    <w:rPr>
      <w:rFonts w:ascii="Arial" w:hAnsi="Arial" w:eastAsia="Arial" w:cs="Arial"/>
      <w:i/>
      <w:iCs/>
      <w:color w:val="2E74B5"/>
      <w:sz w:val="20"/>
      <w:szCs w:val="20"/>
    </w:rPr>
  </w:style>
  <w:style w:type="paragraph" w:styleId="6">
    <w:name w:val="heading 5"/>
    <w:next w:val="1"/>
    <w:qFormat/>
    <w:uiPriority w:val="0"/>
    <w:rPr>
      <w:rFonts w:ascii="Arial" w:hAnsi="Arial" w:eastAsia="Arial" w:cs="Arial"/>
      <w:color w:val="2E74B5"/>
      <w:sz w:val="20"/>
      <w:szCs w:val="20"/>
    </w:rPr>
  </w:style>
  <w:style w:type="paragraph" w:styleId="7">
    <w:name w:val="heading 6"/>
    <w:next w:val="1"/>
    <w:qFormat/>
    <w:uiPriority w:val="0"/>
    <w:rPr>
      <w:rFonts w:ascii="Arial" w:hAnsi="Arial" w:eastAsia="Arial" w:cs="Arial"/>
      <w:color w:val="1F4D78"/>
      <w:sz w:val="20"/>
      <w:szCs w:val="20"/>
    </w:rPr>
  </w:style>
  <w:style w:type="character" w:default="1" w:styleId="8">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character" w:styleId="10">
    <w:name w:val="endnote reference"/>
    <w:semiHidden/>
    <w:unhideWhenUsed/>
    <w:uiPriority w:val="99"/>
    <w:rPr>
      <w:vertAlign w:val="superscript"/>
    </w:rPr>
  </w:style>
  <w:style w:type="paragraph" w:styleId="11">
    <w:name w:val="endnote text"/>
    <w:link w:val="18"/>
    <w:semiHidden/>
    <w:unhideWhenUsed/>
    <w:uiPriority w:val="99"/>
    <w:pPr>
      <w:spacing w:after="0" w:line="240" w:lineRule="auto"/>
    </w:pPr>
    <w:rPr>
      <w:rFonts w:ascii="Arial" w:hAnsi="Arial" w:eastAsia="Arial" w:cs="Arial"/>
      <w:sz w:val="20"/>
      <w:szCs w:val="20"/>
    </w:rPr>
  </w:style>
  <w:style w:type="character" w:styleId="12">
    <w:name w:val="footnote reference"/>
    <w:semiHidden/>
    <w:unhideWhenUsed/>
    <w:uiPriority w:val="99"/>
    <w:rPr>
      <w:vertAlign w:val="superscript"/>
    </w:rPr>
  </w:style>
  <w:style w:type="paragraph" w:styleId="13">
    <w:name w:val="footnote text"/>
    <w:link w:val="17"/>
    <w:semiHidden/>
    <w:unhideWhenUsed/>
    <w:uiPriority w:val="99"/>
    <w:pPr>
      <w:spacing w:after="0" w:line="240" w:lineRule="auto"/>
    </w:pPr>
    <w:rPr>
      <w:rFonts w:ascii="Arial" w:hAnsi="Arial" w:eastAsia="Arial" w:cs="Arial"/>
      <w:sz w:val="20"/>
      <w:szCs w:val="20"/>
    </w:rPr>
  </w:style>
  <w:style w:type="character" w:styleId="14">
    <w:name w:val="Hyperlink"/>
    <w:unhideWhenUsed/>
    <w:uiPriority w:val="99"/>
    <w:rPr>
      <w:color w:val="0563C1"/>
      <w:u w:val="single"/>
    </w:rPr>
  </w:style>
  <w:style w:type="paragraph" w:styleId="15">
    <w:name w:val="Title"/>
    <w:qFormat/>
    <w:uiPriority w:val="0"/>
    <w:rPr>
      <w:rFonts w:ascii="Arial" w:hAnsi="Arial" w:eastAsia="Arial" w:cs="Arial"/>
      <w:sz w:val="56"/>
      <w:szCs w:val="56"/>
    </w:rPr>
  </w:style>
  <w:style w:type="paragraph" w:styleId="16">
    <w:name w:val="List Paragraph"/>
    <w:qFormat/>
    <w:uiPriority w:val="0"/>
    <w:rPr>
      <w:rFonts w:ascii="Arial" w:hAnsi="Arial" w:eastAsia="Arial" w:cs="Arial"/>
      <w:sz w:val="20"/>
      <w:szCs w:val="20"/>
    </w:rPr>
  </w:style>
  <w:style w:type="character" w:customStyle="1" w:styleId="17">
    <w:name w:val="Footnote Text Char"/>
    <w:link w:val="13"/>
    <w:semiHidden/>
    <w:unhideWhenUsed/>
    <w:uiPriority w:val="99"/>
    <w:rPr>
      <w:sz w:val="20"/>
      <w:szCs w:val="20"/>
    </w:rPr>
  </w:style>
  <w:style w:type="character" w:customStyle="1" w:styleId="18">
    <w:name w:val="Endnote Text Char"/>
    <w:link w:val="11"/>
    <w:semiHidden/>
    <w:unhideWhenUsed/>
    <w:uiPriority w:val="99"/>
    <w:rPr>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TotalTime>3</TotalTime>
  <ScaleCrop>false</ScaleCrop>
  <LinksUpToDate>false</LinksUpToDate>
  <Application>WPS Office_12.1.23155.23155_F1E327BC-269C-435d-A152-05C5408002CA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sara bb</cp:lastModifiedBy>
  <dcterms:modified xsi:type="dcterms:W3CDTF">2026-04-03T10:25:32Z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1033-12.1.23155.23155</vt:lpwstr>
  </property>
  <property fmtid="{D5CDD505-2E9C-101B-9397-08002B2CF9AE}" pid="3" name="ICV">
    <vt:lpwstr>F2916EF2543C0B237C79CF69ABA9A71B_42</vt:lpwstr>
  </property>
</Properties>
</file>